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311" w:rsidRPr="00981BEE" w:rsidRDefault="006D7311" w:rsidP="006D7311">
      <w:pPr>
        <w:pStyle w:val="Titre1"/>
        <w:spacing w:after="120"/>
        <w:jc w:val="center"/>
        <w:rPr>
          <w:rFonts w:ascii="Garamond" w:hAnsi="Garamond"/>
          <w:smallCaps/>
        </w:rPr>
      </w:pPr>
      <w:r w:rsidRPr="00981BEE">
        <w:rPr>
          <w:rFonts w:ascii="Garamond" w:hAnsi="Garamond"/>
          <w:smallCaps/>
        </w:rPr>
        <w:t>Publications</w:t>
      </w:r>
    </w:p>
    <w:p w:rsidR="006D7311" w:rsidRDefault="006D7311" w:rsidP="006D7311">
      <w:pPr>
        <w:spacing w:after="120"/>
        <w:ind w:left="284" w:hanging="284"/>
        <w:jc w:val="both"/>
        <w:rPr>
          <w:rFonts w:ascii="Garamond" w:hAnsi="Garamond"/>
          <w:b/>
          <w:bCs/>
        </w:rPr>
      </w:pP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  <w:b/>
          <w:bCs/>
        </w:rPr>
      </w:pPr>
      <w:r w:rsidRPr="00981BEE">
        <w:rPr>
          <w:rFonts w:ascii="Garamond" w:hAnsi="Garamond"/>
          <w:b/>
          <w:bCs/>
        </w:rPr>
        <w:t xml:space="preserve">Livres : 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</w:t>
      </w:r>
      <w:r w:rsidRPr="00981BEE">
        <w:rPr>
          <w:rFonts w:ascii="Garamond" w:hAnsi="Garamond"/>
          <w:i/>
        </w:rPr>
        <w:t>Le vitrail à Paris au XIX</w:t>
      </w:r>
      <w:r w:rsidRPr="00981BEE">
        <w:rPr>
          <w:rFonts w:ascii="Garamond" w:hAnsi="Garamond"/>
          <w:i/>
          <w:vertAlign w:val="superscript"/>
        </w:rPr>
        <w:t>e</w:t>
      </w:r>
      <w:r w:rsidRPr="00981BEE">
        <w:rPr>
          <w:rFonts w:ascii="Garamond" w:hAnsi="Garamond"/>
          <w:i/>
        </w:rPr>
        <w:t xml:space="preserve"> siècle. Entretenir, conserver, restaurer</w:t>
      </w:r>
      <w:r w:rsidRPr="00981BEE">
        <w:rPr>
          <w:rFonts w:ascii="Garamond" w:hAnsi="Garamond"/>
        </w:rPr>
        <w:t>, Rennes, P.U.R, 2010, 344 p.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</w:t>
      </w:r>
      <w:r w:rsidRPr="00981BEE">
        <w:rPr>
          <w:rFonts w:ascii="Garamond" w:hAnsi="Garamond"/>
          <w:i/>
          <w:iCs/>
        </w:rPr>
        <w:t>Saint-Germain l’Auxerrois</w:t>
      </w:r>
      <w:r w:rsidRPr="00981BEE">
        <w:rPr>
          <w:rFonts w:ascii="Garamond" w:hAnsi="Garamond"/>
        </w:rPr>
        <w:t>, Paris, Ardea, 2008, 72 p. (en collab. avec Guy-Michel Leproux).</w:t>
      </w:r>
    </w:p>
    <w:p w:rsidR="006D7311" w:rsidRPr="00981BEE" w:rsidRDefault="006D7311" w:rsidP="006D7311">
      <w:pPr>
        <w:spacing w:after="120"/>
        <w:ind w:left="709"/>
        <w:jc w:val="both"/>
        <w:rPr>
          <w:rFonts w:ascii="Garamond" w:hAnsi="Garamond"/>
          <w:sz w:val="22"/>
          <w:szCs w:val="22"/>
        </w:rPr>
      </w:pPr>
    </w:p>
    <w:p w:rsidR="006D7311" w:rsidRPr="00981BEE" w:rsidRDefault="006D7311" w:rsidP="006D7311">
      <w:pPr>
        <w:keepNext/>
        <w:spacing w:after="120"/>
        <w:ind w:left="284" w:hanging="284"/>
        <w:jc w:val="both"/>
        <w:rPr>
          <w:rFonts w:ascii="Garamond" w:hAnsi="Garamond"/>
          <w:b/>
          <w:bCs/>
        </w:rPr>
      </w:pPr>
      <w:r w:rsidRPr="00981BEE">
        <w:rPr>
          <w:rFonts w:ascii="Garamond" w:hAnsi="Garamond"/>
          <w:b/>
          <w:bCs/>
        </w:rPr>
        <w:t xml:space="preserve">Articles et chapitres de livres : </w:t>
      </w:r>
    </w:p>
    <w:p w:rsidR="006D7311" w:rsidRPr="00981BEE" w:rsidRDefault="006D7311" w:rsidP="006D7311">
      <w:pPr>
        <w:keepNext/>
        <w:spacing w:after="120"/>
        <w:jc w:val="both"/>
        <w:rPr>
          <w:rFonts w:ascii="Garamond" w:hAnsi="Garamond"/>
          <w:i/>
        </w:rPr>
      </w:pPr>
      <w:r w:rsidRPr="00981BEE">
        <w:rPr>
          <w:rFonts w:ascii="Garamond" w:hAnsi="Garamond"/>
          <w:i/>
        </w:rPr>
        <w:t xml:space="preserve">À paraître en 2017 : 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L’apport des sources à la connaissance des caves parisiennes », dans </w:t>
      </w:r>
      <w:r w:rsidRPr="00981BEE">
        <w:rPr>
          <w:rFonts w:ascii="Garamond" w:hAnsi="Garamond"/>
          <w:i/>
          <w:iCs/>
        </w:rPr>
        <w:t>Sous les pavés, les caves ! État des recherches sur les caves anciennes d’Île-de-France et alentours</w:t>
      </w:r>
      <w:r w:rsidRPr="00981BEE">
        <w:rPr>
          <w:rFonts w:ascii="Garamond" w:hAnsi="Garamond"/>
        </w:rPr>
        <w:t>, Actes de la journée d’étude du 23 novembre 2013 (en collab. avec Valentine Weiss).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Les caves dans les archives de la Commission du Vieux Paris », dans </w:t>
      </w:r>
      <w:r w:rsidRPr="00981BEE">
        <w:rPr>
          <w:rFonts w:ascii="Garamond" w:hAnsi="Garamond"/>
          <w:i/>
          <w:iCs/>
        </w:rPr>
        <w:t>Sous les pavés, les caves ! État des recherches sur les caves anciennes d’Île-de-France et alentours</w:t>
      </w:r>
      <w:r w:rsidRPr="00981BEE">
        <w:rPr>
          <w:rFonts w:ascii="Garamond" w:hAnsi="Garamond"/>
        </w:rPr>
        <w:t>, Actes de la journée d’étude du 23 novembre 2013.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Jean-Baptiste Féragus et l’invention d’un comble en fer au XIX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 siècle », dans la </w:t>
      </w:r>
      <w:r w:rsidRPr="00981BEE">
        <w:rPr>
          <w:rFonts w:ascii="Garamond" w:hAnsi="Garamond"/>
          <w:i/>
        </w:rPr>
        <w:t>Revue « Centraliens »</w:t>
      </w:r>
      <w:r w:rsidRPr="00981BEE">
        <w:rPr>
          <w:rFonts w:ascii="Garamond" w:hAnsi="Garamond"/>
        </w:rPr>
        <w:t>.</w:t>
      </w:r>
    </w:p>
    <w:p w:rsidR="006D7311" w:rsidRDefault="006D7311" w:rsidP="006D7311">
      <w:pPr>
        <w:keepNext/>
        <w:spacing w:after="120"/>
        <w:jc w:val="both"/>
        <w:rPr>
          <w:rFonts w:ascii="Garamond" w:hAnsi="Garamond"/>
          <w:i/>
        </w:rPr>
      </w:pPr>
    </w:p>
    <w:p w:rsidR="006D7311" w:rsidRPr="00981BEE" w:rsidRDefault="006D7311" w:rsidP="006D7311">
      <w:pPr>
        <w:keepNext/>
        <w:spacing w:after="120"/>
        <w:jc w:val="both"/>
        <w:rPr>
          <w:rFonts w:ascii="Garamond" w:hAnsi="Garamond"/>
          <w:i/>
        </w:rPr>
      </w:pPr>
      <w:r w:rsidRPr="00981BEE">
        <w:rPr>
          <w:rFonts w:ascii="Garamond" w:hAnsi="Garamond"/>
          <w:i/>
        </w:rPr>
        <w:t xml:space="preserve">Articles parus : </w:t>
      </w:r>
    </w:p>
    <w:p w:rsidR="006D7311" w:rsidRPr="00981BEE" w:rsidRDefault="006D7311" w:rsidP="006D7311">
      <w:pPr>
        <w:keepNext/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</w:t>
      </w:r>
      <w:r w:rsidRPr="00981BEE">
        <w:rPr>
          <w:rFonts w:ascii="Garamond" w:hAnsi="Garamond"/>
          <w:i/>
          <w:iCs/>
        </w:rPr>
        <w:t xml:space="preserve">Les joies et les fêtes de Paris. </w:t>
      </w:r>
      <w:r w:rsidRPr="00981BEE">
        <w:rPr>
          <w:rFonts w:ascii="Garamond" w:hAnsi="Garamond"/>
        </w:rPr>
        <w:t xml:space="preserve">Des cartons de tapisseries d’Émile Gaudissard pour l’Hôtel de Ville de Paris (1941-1945) », </w:t>
      </w:r>
      <w:r w:rsidRPr="00981BEE">
        <w:rPr>
          <w:rFonts w:ascii="Garamond" w:hAnsi="Garamond"/>
          <w:i/>
          <w:iCs/>
        </w:rPr>
        <w:t>La tapisserie en France</w:t>
      </w:r>
      <w:r w:rsidRPr="00981BEE">
        <w:rPr>
          <w:rFonts w:ascii="Garamond" w:hAnsi="Garamond"/>
        </w:rPr>
        <w:t xml:space="preserve">, sous la direction de Pascal Bertrand et Audrey Nassieu Maupas, (actes du colloque organisé dans le cadre du programme ANR </w:t>
      </w:r>
      <w:r w:rsidRPr="00981BEE">
        <w:rPr>
          <w:rFonts w:ascii="Garamond" w:hAnsi="Garamond"/>
          <w:i/>
          <w:iCs/>
        </w:rPr>
        <w:t>ARACHNÉ. Méthode critique de l’histoire de la tapisserie</w:t>
      </w:r>
      <w:r w:rsidRPr="00981BEE">
        <w:rPr>
          <w:rFonts w:ascii="Garamond" w:hAnsi="Garamond"/>
        </w:rPr>
        <w:t>, Paris, INHA, 12-13 décembre 2014)</w:t>
      </w:r>
      <w:r>
        <w:rPr>
          <w:rFonts w:ascii="Garamond" w:hAnsi="Garamond"/>
        </w:rPr>
        <w:t>, Rennes, 2017, p. 53-73</w:t>
      </w:r>
      <w:r w:rsidRPr="00981BEE">
        <w:rPr>
          <w:rFonts w:ascii="Garamond" w:hAnsi="Garamond"/>
        </w:rPr>
        <w:t>.</w:t>
      </w:r>
    </w:p>
    <w:p w:rsidR="006D7311" w:rsidRPr="004C0B38" w:rsidRDefault="006D7311" w:rsidP="006D7311">
      <w:pPr>
        <w:keepNext/>
        <w:spacing w:after="12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- « </w:t>
      </w:r>
      <w:r w:rsidRPr="004C0B38">
        <w:rPr>
          <w:rFonts w:ascii="Garamond" w:hAnsi="Garamond"/>
        </w:rPr>
        <w:t>La restauration des vitraux des églises paroissiales de Paris de la Révolution à 1880</w:t>
      </w:r>
      <w:r>
        <w:rPr>
          <w:rFonts w:ascii="Garamond" w:hAnsi="Garamond"/>
        </w:rPr>
        <w:t xml:space="preserve"> », </w:t>
      </w:r>
      <w:r>
        <w:rPr>
          <w:rFonts w:ascii="Garamond" w:hAnsi="Garamond"/>
          <w:i/>
        </w:rPr>
        <w:t xml:space="preserve">Position de thèse </w:t>
      </w:r>
      <w:r>
        <w:rPr>
          <w:rFonts w:ascii="Garamond" w:hAnsi="Garamond"/>
        </w:rPr>
        <w:t xml:space="preserve">dans </w:t>
      </w:r>
      <w:r w:rsidRPr="004C0B38">
        <w:rPr>
          <w:rFonts w:ascii="Garamond" w:hAnsi="Garamond"/>
          <w:i/>
        </w:rPr>
        <w:t>Actualité du XIX</w:t>
      </w:r>
      <w:r w:rsidRPr="004C0B38">
        <w:rPr>
          <w:rFonts w:ascii="Garamond" w:hAnsi="Garamond"/>
          <w:i/>
          <w:vertAlign w:val="superscript"/>
        </w:rPr>
        <w:t>e</w:t>
      </w:r>
      <w:r w:rsidRPr="004C0B38">
        <w:rPr>
          <w:rFonts w:ascii="Garamond" w:hAnsi="Garamond"/>
          <w:i/>
        </w:rPr>
        <w:t xml:space="preserve"> siècle</w:t>
      </w:r>
      <w:r>
        <w:rPr>
          <w:rFonts w:ascii="Garamond" w:hAnsi="Garamond"/>
        </w:rPr>
        <w:t xml:space="preserve"> (</w:t>
      </w:r>
      <w:hyperlink r:id="rId4" w:history="1">
        <w:r w:rsidRPr="00C80037">
          <w:rPr>
            <w:rStyle w:val="Lienhypertexte"/>
            <w:rFonts w:ascii="Garamond" w:hAnsi="Garamond"/>
          </w:rPr>
          <w:t>http://histoire19.hypotheses.org/1488</w:t>
        </w:r>
      </w:hyperlink>
      <w:r>
        <w:rPr>
          <w:rFonts w:ascii="Garamond" w:hAnsi="Garamond"/>
        </w:rPr>
        <w:t>).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Un vestige de l’abbaye de Saint-Germain des Prés : la cave médiévale située au 10 rue de l’Abbaye », dans </w:t>
      </w:r>
      <w:r w:rsidRPr="00981BEE">
        <w:rPr>
          <w:rFonts w:ascii="Garamond" w:hAnsi="Garamond"/>
          <w:i/>
          <w:iCs/>
        </w:rPr>
        <w:t xml:space="preserve">Saint-Germain des Prés. Mille ans d’une abbaye à Paris, </w:t>
      </w:r>
      <w:r w:rsidRPr="00981BEE">
        <w:rPr>
          <w:rFonts w:ascii="Garamond" w:hAnsi="Garamond"/>
        </w:rPr>
        <w:t>Actes du colloque organisé par l’Académie des Inscriptions et Belles Lettres, le 4-5 décembre 2014, Paris, 2015, p. 95-118 (en collab. avec Violaine Bresson et Grégory Chaumet).</w:t>
      </w:r>
    </w:p>
    <w:p w:rsidR="006D7311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Protéger l’ouvrier ? Deux inventions relatives aux échafaudages dans la première moitié du XIX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 siècle », dans </w:t>
      </w:r>
      <w:r w:rsidRPr="00981BEE">
        <w:rPr>
          <w:rFonts w:ascii="Garamond" w:hAnsi="Garamond"/>
          <w:i/>
          <w:iCs/>
        </w:rPr>
        <w:t>Documents d’histoire parisienne</w:t>
      </w:r>
      <w:r w:rsidRPr="00981BEE">
        <w:rPr>
          <w:rFonts w:ascii="Garamond" w:hAnsi="Garamond"/>
        </w:rPr>
        <w:t>, n°17, 2015, p. 87-100.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Les caves de Paris, les espaces fonctionnels d’une ville dynamique », dans les </w:t>
      </w:r>
      <w:r w:rsidRPr="00981BEE">
        <w:rPr>
          <w:rFonts w:ascii="Garamond" w:hAnsi="Garamond"/>
          <w:i/>
          <w:iCs/>
        </w:rPr>
        <w:t>Dossiers d’archéologie</w:t>
      </w:r>
      <w:r w:rsidRPr="00981BEE">
        <w:rPr>
          <w:rFonts w:ascii="Garamond" w:hAnsi="Garamond"/>
        </w:rPr>
        <w:t>, sept.-oct. 2015, n° 371, p. 14-19 (en collab. avec Dany Sandron).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De l’espagnolette à la crémone. Les inventions de Féragus et Andriot », dans </w:t>
      </w:r>
      <w:r w:rsidRPr="00981BEE">
        <w:rPr>
          <w:rFonts w:ascii="Garamond" w:hAnsi="Garamond"/>
          <w:i/>
          <w:iCs/>
        </w:rPr>
        <w:t>Documents d’histoire parisienne</w:t>
      </w:r>
      <w:r w:rsidRPr="00981BEE">
        <w:rPr>
          <w:rFonts w:ascii="Garamond" w:hAnsi="Garamond"/>
        </w:rPr>
        <w:t>, n°16, 2014, p. 41-60.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La redécouverte de la peinture sur verre (1750-1850) », dans </w:t>
      </w:r>
      <w:r w:rsidRPr="00981BEE">
        <w:rPr>
          <w:rFonts w:ascii="Garamond" w:hAnsi="Garamond"/>
          <w:i/>
          <w:iCs/>
        </w:rPr>
        <w:t>Le Vitrail. V</w:t>
      </w:r>
      <w:r w:rsidRPr="00981BEE">
        <w:rPr>
          <w:rFonts w:ascii="Garamond" w:hAnsi="Garamond"/>
          <w:i/>
          <w:iCs/>
          <w:vertAlign w:val="superscript"/>
        </w:rPr>
        <w:t>e</w:t>
      </w:r>
      <w:r w:rsidRPr="00981BEE">
        <w:rPr>
          <w:rFonts w:ascii="Garamond" w:hAnsi="Garamond"/>
          <w:i/>
          <w:iCs/>
        </w:rPr>
        <w:t>-XXI</w:t>
      </w:r>
      <w:r w:rsidRPr="00981BEE">
        <w:rPr>
          <w:rFonts w:ascii="Garamond" w:hAnsi="Garamond"/>
          <w:i/>
          <w:iCs/>
          <w:vertAlign w:val="superscript"/>
        </w:rPr>
        <w:t>e</w:t>
      </w:r>
      <w:r w:rsidRPr="00981BEE">
        <w:rPr>
          <w:rFonts w:ascii="Garamond" w:hAnsi="Garamond"/>
          <w:i/>
          <w:iCs/>
        </w:rPr>
        <w:t xml:space="preserve"> siècle</w:t>
      </w:r>
      <w:r w:rsidRPr="00981BEE">
        <w:rPr>
          <w:rFonts w:ascii="Garamond" w:hAnsi="Garamond"/>
        </w:rPr>
        <w:t>, sous la direction de Michel Hérold et Véronique David, Paris, 2014, p. 299-320.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Les vitraux », dans </w:t>
      </w:r>
      <w:r w:rsidRPr="00981BEE">
        <w:rPr>
          <w:rFonts w:ascii="Garamond" w:hAnsi="Garamond"/>
          <w:i/>
        </w:rPr>
        <w:t>La cathédrale de Lille, la grâce d’une cathédrale,</w:t>
      </w:r>
      <w:r w:rsidRPr="00981BEE">
        <w:rPr>
          <w:rFonts w:ascii="Garamond" w:hAnsi="Garamond"/>
        </w:rPr>
        <w:t xml:space="preserve"> Strasbourg, 2014, p. 203-213.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Jean Nicolas Gardeur et la sculpture en carton au XVIII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 siècle », dans </w:t>
      </w:r>
      <w:r w:rsidRPr="00981BEE">
        <w:rPr>
          <w:rFonts w:ascii="Garamond" w:hAnsi="Garamond"/>
          <w:i/>
          <w:iCs/>
        </w:rPr>
        <w:t>Documents d’histoire parisienne</w:t>
      </w:r>
      <w:r w:rsidRPr="00981BEE">
        <w:rPr>
          <w:rFonts w:ascii="Garamond" w:hAnsi="Garamond"/>
        </w:rPr>
        <w:t>, n°14, 2012, p. 65-80.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  <w:iCs/>
        </w:rPr>
      </w:pPr>
      <w:r w:rsidRPr="00981BEE">
        <w:rPr>
          <w:rFonts w:ascii="Garamond" w:hAnsi="Garamond"/>
        </w:rPr>
        <w:t xml:space="preserve">- « Dans les tempêtes de l’histoire, 1789-1842 » et « La restauration de la flèche », dans </w:t>
      </w:r>
      <w:r w:rsidRPr="00981BEE">
        <w:rPr>
          <w:rFonts w:ascii="Garamond" w:hAnsi="Garamond"/>
          <w:i/>
        </w:rPr>
        <w:t>Notre-Dame de Paris, la grâce d’une cathédrale</w:t>
      </w:r>
      <w:r w:rsidRPr="00981BEE">
        <w:rPr>
          <w:rFonts w:ascii="Garamond" w:hAnsi="Garamond"/>
          <w:iCs/>
        </w:rPr>
        <w:t xml:space="preserve">, Strasbourg, 2012, p. 127-133 et 139-140. 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Victor Baltard et le vitrail », dans </w:t>
      </w:r>
      <w:r w:rsidRPr="00981BEE">
        <w:rPr>
          <w:rFonts w:ascii="Garamond" w:hAnsi="Garamond"/>
          <w:i/>
          <w:iCs/>
        </w:rPr>
        <w:t>Documents d’histoire parisienne</w:t>
      </w:r>
      <w:r w:rsidRPr="00981BEE">
        <w:rPr>
          <w:rFonts w:ascii="Garamond" w:hAnsi="Garamond"/>
        </w:rPr>
        <w:t>, n°13, 2012, p. 53-64.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Les collections des peintres verriers parisiens », dans </w:t>
      </w:r>
      <w:r w:rsidRPr="00981BEE">
        <w:rPr>
          <w:rFonts w:ascii="Garamond" w:hAnsi="Garamond"/>
          <w:i/>
          <w:iCs/>
        </w:rPr>
        <w:t xml:space="preserve">Collection of Stained Glass and their Histories </w:t>
      </w:r>
      <w:r w:rsidRPr="00981BEE">
        <w:rPr>
          <w:rFonts w:ascii="Garamond" w:hAnsi="Garamond"/>
        </w:rPr>
        <w:t>[Actes du 25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 colloque international du Corpus Vitrearum, Saint-Pétersbourg, musée de l'Ermitage, 5-9 juillet 2010],</w:t>
      </w:r>
      <w:r w:rsidRPr="00981BEE">
        <w:rPr>
          <w:rFonts w:ascii="Garamond" w:hAnsi="Garamond"/>
          <w:i/>
          <w:iCs/>
        </w:rPr>
        <w:t xml:space="preserve"> </w:t>
      </w:r>
      <w:r w:rsidRPr="00981BEE">
        <w:rPr>
          <w:rFonts w:ascii="Garamond" w:hAnsi="Garamond"/>
        </w:rPr>
        <w:t>Berne, Peter Lang, 2012, p. 257-266.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lastRenderedPageBreak/>
        <w:t xml:space="preserve">- « Auguste Bellu (1796-1862), charpentier et entrepreneur de travaux publics », dans </w:t>
      </w:r>
      <w:r w:rsidRPr="00981BEE">
        <w:rPr>
          <w:rFonts w:ascii="Garamond" w:hAnsi="Garamond"/>
          <w:i/>
          <w:iCs/>
        </w:rPr>
        <w:t>Documents d’histoire parisienne</w:t>
      </w:r>
      <w:r w:rsidRPr="00981BEE">
        <w:rPr>
          <w:rFonts w:ascii="Garamond" w:hAnsi="Garamond"/>
        </w:rPr>
        <w:t>, n°11, 2010, p. 49-70.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Les vitraux de Saint-Séverin », dans </w:t>
      </w:r>
      <w:r w:rsidRPr="00981BEE">
        <w:rPr>
          <w:rFonts w:ascii="Garamond" w:hAnsi="Garamond"/>
          <w:i/>
          <w:iCs/>
        </w:rPr>
        <w:t>Bulletin de la Montagne Sainte-Geneviève</w:t>
      </w:r>
      <w:r w:rsidRPr="00981BEE">
        <w:rPr>
          <w:rFonts w:ascii="Garamond" w:hAnsi="Garamond"/>
        </w:rPr>
        <w:t>, n°310, 2007, p. 58-66.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La plume et l’épée. Le capitaine de Montluisant chroniqueur de l’Exposition universelle de 1855 », dans </w:t>
      </w:r>
      <w:r w:rsidRPr="00981BEE">
        <w:rPr>
          <w:rFonts w:ascii="Garamond" w:hAnsi="Garamond"/>
          <w:i/>
          <w:iCs/>
        </w:rPr>
        <w:t>Documents d’histoire parisienne</w:t>
      </w:r>
      <w:r w:rsidRPr="00981BEE">
        <w:rPr>
          <w:rFonts w:ascii="Garamond" w:hAnsi="Garamond"/>
        </w:rPr>
        <w:t>, n°8, 2007, p. 51-70.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 « Une ancienne maison du faubourg Saint-Antoine : le 22, rue Basfroi (11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 arr.) », dans </w:t>
      </w:r>
      <w:r w:rsidRPr="00981BEE">
        <w:rPr>
          <w:rFonts w:ascii="Garamond" w:hAnsi="Garamond"/>
          <w:i/>
          <w:iCs/>
        </w:rPr>
        <w:t>Paris Patrimoine</w:t>
      </w:r>
      <w:r w:rsidRPr="00981BEE">
        <w:rPr>
          <w:rFonts w:ascii="Garamond" w:hAnsi="Garamond"/>
        </w:rPr>
        <w:t>, n°3, décembre 2006, p.79-82.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Les vitraux de la chapelle du collège de Beauvais », dans </w:t>
      </w:r>
      <w:r w:rsidRPr="00981BEE">
        <w:rPr>
          <w:rFonts w:ascii="Garamond" w:hAnsi="Garamond"/>
          <w:i/>
          <w:iCs/>
        </w:rPr>
        <w:t>La création artistique en France autour de 1400</w:t>
      </w:r>
      <w:r w:rsidRPr="00981BEE">
        <w:rPr>
          <w:rFonts w:ascii="Garamond" w:hAnsi="Garamond"/>
        </w:rPr>
        <w:t>, XIX</w:t>
      </w:r>
      <w:r w:rsidRPr="00981BEE">
        <w:rPr>
          <w:rFonts w:ascii="Garamond" w:hAnsi="Garamond"/>
          <w:vertAlign w:val="superscript"/>
        </w:rPr>
        <w:t>es</w:t>
      </w:r>
      <w:r w:rsidRPr="00981BEE">
        <w:rPr>
          <w:rFonts w:ascii="Garamond" w:hAnsi="Garamond"/>
        </w:rPr>
        <w:t> rencontres de l’École du Louvre, Paris, 2006, p. 247-260.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Jean Cousin topographe à Paris », dans </w:t>
      </w:r>
      <w:r w:rsidRPr="00981BEE">
        <w:rPr>
          <w:rFonts w:ascii="Garamond" w:hAnsi="Garamond"/>
          <w:i/>
          <w:iCs/>
        </w:rPr>
        <w:t>Documents d’histoire parisienne</w:t>
      </w:r>
      <w:r w:rsidRPr="00981BEE">
        <w:rPr>
          <w:rFonts w:ascii="Garamond" w:hAnsi="Garamond"/>
        </w:rPr>
        <w:t>, n°5, 2005, p. 7-14.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  <w:spacing w:val="-6"/>
        </w:rPr>
      </w:pPr>
      <w:r w:rsidRPr="00981BEE">
        <w:rPr>
          <w:rFonts w:ascii="Garamond" w:hAnsi="Garamond"/>
          <w:spacing w:val="-6"/>
        </w:rPr>
        <w:t xml:space="preserve">- « L’enceinte de Charles IX et la Garenne de Renard », dans </w:t>
      </w:r>
      <w:r w:rsidRPr="00981BEE">
        <w:rPr>
          <w:rFonts w:ascii="Garamond" w:hAnsi="Garamond"/>
          <w:i/>
          <w:iCs/>
          <w:spacing w:val="-6"/>
        </w:rPr>
        <w:t>Paris Patrimoine</w:t>
      </w:r>
      <w:r w:rsidRPr="00981BEE">
        <w:rPr>
          <w:rFonts w:ascii="Garamond" w:hAnsi="Garamond"/>
          <w:spacing w:val="-6"/>
        </w:rPr>
        <w:t>, n°2, décembre 2005, p. 36-47.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 </w:t>
      </w:r>
      <w:r w:rsidRPr="00981BEE">
        <w:rPr>
          <w:rFonts w:ascii="Garamond" w:hAnsi="Garamond"/>
          <w:iCs/>
        </w:rPr>
        <w:t>« </w:t>
      </w:r>
      <w:r w:rsidRPr="00981BEE">
        <w:rPr>
          <w:rFonts w:ascii="Garamond" w:hAnsi="Garamond"/>
        </w:rPr>
        <w:t xml:space="preserve">Une allégorie satirique de la révolution de 1848 : </w:t>
      </w:r>
      <w:r w:rsidRPr="00981BEE">
        <w:rPr>
          <w:rFonts w:ascii="Garamond" w:hAnsi="Garamond"/>
          <w:i/>
          <w:iCs/>
        </w:rPr>
        <w:t>La Févriade</w:t>
      </w:r>
      <w:r w:rsidRPr="00981BEE">
        <w:rPr>
          <w:rFonts w:ascii="Garamond" w:hAnsi="Garamond"/>
        </w:rPr>
        <w:t xml:space="preserve"> de Prosper Lafaye (1806-1883) », dans </w:t>
      </w:r>
      <w:r w:rsidRPr="00981BEE">
        <w:rPr>
          <w:rFonts w:ascii="Garamond" w:hAnsi="Garamond"/>
          <w:i/>
          <w:iCs/>
        </w:rPr>
        <w:t>Mélanges d’histoire de Paris à la mémoire de Michel Fleury</w:t>
      </w:r>
      <w:r w:rsidRPr="00981BEE">
        <w:rPr>
          <w:rFonts w:ascii="Garamond" w:hAnsi="Garamond"/>
        </w:rPr>
        <w:t>, Paris, 2004, p. 161-171.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Découverte de vitraux anciens provenant des collections de la Ville », dans </w:t>
      </w:r>
      <w:r w:rsidRPr="00981BEE">
        <w:rPr>
          <w:rFonts w:ascii="Garamond" w:hAnsi="Garamond"/>
          <w:i/>
        </w:rPr>
        <w:t xml:space="preserve">Commission du Vieux Paris, procès-verbal de la séance du </w:t>
      </w:r>
      <w:r w:rsidRPr="00981BEE">
        <w:rPr>
          <w:rFonts w:ascii="Garamond" w:hAnsi="Garamond"/>
        </w:rPr>
        <w:t>6 février 2001, p. 31-41.</w:t>
      </w:r>
    </w:p>
    <w:p w:rsidR="006D7311" w:rsidRPr="00981BEE" w:rsidRDefault="006D7311" w:rsidP="006D7311">
      <w:pPr>
        <w:keepNext/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Un fragment de vitrail parisien du </w:t>
      </w:r>
      <w:r w:rsidRPr="00981BEE">
        <w:rPr>
          <w:rFonts w:ascii="Garamond" w:hAnsi="Garamond"/>
          <w:smallCaps/>
        </w:rPr>
        <w:t>xiv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 siècle du Musée Carnavalet », dans </w:t>
      </w:r>
      <w:r w:rsidRPr="00981BEE">
        <w:rPr>
          <w:rFonts w:ascii="Garamond" w:hAnsi="Garamond"/>
          <w:i/>
        </w:rPr>
        <w:t xml:space="preserve">Commission du Vieux Paris, procès-verbal de la séance du </w:t>
      </w:r>
      <w:r w:rsidRPr="00981BEE">
        <w:rPr>
          <w:rFonts w:ascii="Garamond" w:hAnsi="Garamond"/>
        </w:rPr>
        <w:t xml:space="preserve">8 février 2000, p. 15-23. 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Des vestiges d'un vitrail de Jean Lécuyer dans l’église de Mont-Saint-Sulpice ? », dans </w:t>
      </w:r>
      <w:r w:rsidRPr="00981BEE">
        <w:rPr>
          <w:rFonts w:ascii="Garamond" w:hAnsi="Garamond"/>
          <w:i/>
        </w:rPr>
        <w:t>Bulletin monumental</w:t>
      </w:r>
      <w:r w:rsidRPr="00981BEE">
        <w:rPr>
          <w:rFonts w:ascii="Garamond" w:hAnsi="Garamond"/>
        </w:rPr>
        <w:t>, t. 157-III, 1999, p. 303-306.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Des vitraux anciens dans l’église de Mont-Saint-Sulpice », dans </w:t>
      </w:r>
      <w:r w:rsidRPr="00981BEE">
        <w:rPr>
          <w:rFonts w:ascii="Garamond" w:hAnsi="Garamond"/>
          <w:i/>
        </w:rPr>
        <w:t>Bulletin municipal de Mont-Saint-Sulpice</w:t>
      </w:r>
      <w:r>
        <w:rPr>
          <w:rFonts w:ascii="Garamond" w:hAnsi="Garamond"/>
        </w:rPr>
        <w:t>, n°</w:t>
      </w:r>
      <w:r w:rsidRPr="00981BEE">
        <w:rPr>
          <w:rFonts w:ascii="Garamond" w:hAnsi="Garamond"/>
        </w:rPr>
        <w:t>28</w:t>
      </w:r>
      <w:r>
        <w:rPr>
          <w:rFonts w:ascii="Garamond" w:hAnsi="Garamond"/>
        </w:rPr>
        <w:t>,</w:t>
      </w:r>
      <w:r w:rsidRPr="00981BEE">
        <w:rPr>
          <w:rFonts w:ascii="Garamond" w:hAnsi="Garamond"/>
        </w:rPr>
        <w:t xml:space="preserve"> janvier 1998, p. 28-29.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Une source essentielle pour la connaissance des vitraux anciens de Paris, les dessins de Prosper Lafaye », dans </w:t>
      </w:r>
      <w:r w:rsidRPr="00981BEE">
        <w:rPr>
          <w:rFonts w:ascii="Garamond" w:hAnsi="Garamond"/>
          <w:i/>
        </w:rPr>
        <w:t xml:space="preserve">Commission du Vieux Paris, procès-verbal de la séance du </w:t>
      </w:r>
      <w:r w:rsidRPr="00981BEE">
        <w:rPr>
          <w:rFonts w:ascii="Garamond" w:hAnsi="Garamond"/>
        </w:rPr>
        <w:t>1</w:t>
      </w:r>
      <w:r w:rsidRPr="00981BEE">
        <w:rPr>
          <w:rFonts w:ascii="Garamond" w:hAnsi="Garamond"/>
          <w:vertAlign w:val="superscript"/>
        </w:rPr>
        <w:t>er</w:t>
      </w:r>
      <w:r w:rsidRPr="00981BEE">
        <w:rPr>
          <w:rFonts w:ascii="Garamond" w:hAnsi="Garamond"/>
        </w:rPr>
        <w:t xml:space="preserve"> avril 1997, p. 9-21. 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  <w:i/>
        </w:rPr>
      </w:pPr>
      <w:r w:rsidRPr="00981BEE">
        <w:rPr>
          <w:rFonts w:ascii="Garamond" w:hAnsi="Garamond"/>
        </w:rPr>
        <w:t xml:space="preserve">- « L'église Saint-Merry de Paris : un monument daté par ses vitraux », dans </w:t>
      </w:r>
      <w:r w:rsidRPr="00981BEE">
        <w:rPr>
          <w:rFonts w:ascii="Garamond" w:hAnsi="Garamond"/>
          <w:i/>
        </w:rPr>
        <w:t>Cahiers de la Rotonde</w:t>
      </w:r>
      <w:r w:rsidRPr="00981BEE">
        <w:rPr>
          <w:rFonts w:ascii="Garamond" w:hAnsi="Garamond"/>
        </w:rPr>
        <w:t>, n° 19, 1997, p. 47-114 (en collab. avec Françoise Gatouillat et Guy-Michel Leproux).</w:t>
      </w:r>
    </w:p>
    <w:p w:rsidR="006D7311" w:rsidRPr="00981BEE" w:rsidRDefault="006D7311" w:rsidP="006D7311">
      <w:pPr>
        <w:spacing w:after="120"/>
        <w:ind w:left="1980" w:hanging="1980"/>
        <w:jc w:val="both"/>
        <w:rPr>
          <w:rFonts w:ascii="Garamond" w:hAnsi="Garamond"/>
          <w:spacing w:val="-4"/>
        </w:rPr>
      </w:pPr>
    </w:p>
    <w:p w:rsidR="006D7311" w:rsidRPr="00981BEE" w:rsidRDefault="006D7311" w:rsidP="006D7311">
      <w:pPr>
        <w:pStyle w:val="Titre1"/>
        <w:spacing w:after="120"/>
        <w:jc w:val="center"/>
        <w:rPr>
          <w:rFonts w:ascii="Garamond" w:hAnsi="Garamond"/>
          <w:smallCaps/>
        </w:rPr>
      </w:pPr>
      <w:r w:rsidRPr="00981BEE">
        <w:rPr>
          <w:rFonts w:ascii="Garamond" w:hAnsi="Garamond"/>
          <w:smallCaps/>
        </w:rPr>
        <w:t>Colloques et Conférences</w:t>
      </w:r>
    </w:p>
    <w:p w:rsidR="006D7311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074619">
        <w:rPr>
          <w:rFonts w:ascii="Garamond" w:hAnsi="Garamond"/>
          <w:i/>
        </w:rPr>
        <w:t>Art et technique à Paris, 1750-1850</w:t>
      </w:r>
      <w:r w:rsidRPr="00074619">
        <w:rPr>
          <w:rFonts w:ascii="Garamond" w:hAnsi="Garamond"/>
        </w:rPr>
        <w:t>, résumés des conférences publiés dans l’</w:t>
      </w:r>
      <w:r w:rsidRPr="00074619">
        <w:rPr>
          <w:rFonts w:ascii="Garamond" w:hAnsi="Garamond"/>
          <w:i/>
          <w:iCs/>
        </w:rPr>
        <w:t>Annuaire de l'École pratique des Hautes Études (EPHE), Section des sciences historiques et philologiques</w:t>
      </w:r>
      <w:r w:rsidRPr="00074619">
        <w:rPr>
          <w:rFonts w:ascii="Garamond" w:hAnsi="Garamond"/>
        </w:rPr>
        <w:t>,</w:t>
      </w:r>
      <w:r w:rsidRPr="00074619">
        <w:rPr>
          <w:rFonts w:ascii="Garamond" w:hAnsi="Garamond"/>
          <w:b/>
        </w:rPr>
        <w:t xml:space="preserve"> </w:t>
      </w:r>
      <w:r w:rsidRPr="00074619">
        <w:rPr>
          <w:rFonts w:ascii="Garamond" w:hAnsi="Garamond"/>
        </w:rPr>
        <w:t xml:space="preserve">n°144, (2011-2012), 2013, p. 191-193, n°145 (2012-2013), 2014, p. 261-262, n°146 (2013-2014), 2015, p. 214-216, [disponibles en ligne sur </w:t>
      </w:r>
      <w:hyperlink r:id="rId5" w:history="1">
        <w:r w:rsidRPr="00104498">
          <w:rPr>
            <w:rStyle w:val="Lienhypertexte"/>
            <w:rFonts w:ascii="Garamond" w:hAnsi="Garamond"/>
          </w:rPr>
          <w:t>http://ashp.revues.org/1511</w:t>
        </w:r>
      </w:hyperlink>
      <w:r w:rsidRPr="00074619">
        <w:rPr>
          <w:rFonts w:ascii="Garamond" w:hAnsi="Garamond"/>
        </w:rPr>
        <w:t>].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Les vitraux de l’église Saint-Augustin », intervention à la soirée exceptionnelle organisée par les Amis de Saint-Augustin, le 26 janvier 2016, publiée sur le site </w:t>
      </w:r>
      <w:hyperlink r:id="rId6" w:history="1">
        <w:r w:rsidRPr="00981BEE">
          <w:rPr>
            <w:rStyle w:val="Lienhypertexte"/>
            <w:rFonts w:ascii="Garamond" w:hAnsi="Garamond"/>
          </w:rPr>
          <w:t>http://www.lesamisdesaintaugustin.fr/wp-content/uploads/2016/04/prez-Vitraux-de-Saint-Aug-EP.pdf</w:t>
        </w:r>
      </w:hyperlink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</w:t>
      </w:r>
      <w:r w:rsidRPr="00981BEE">
        <w:rPr>
          <w:rFonts w:ascii="Garamond" w:hAnsi="Garamond"/>
          <w:i/>
          <w:iCs/>
        </w:rPr>
        <w:t xml:space="preserve">Les joies et les fêtes de Paris. </w:t>
      </w:r>
      <w:r w:rsidRPr="00981BEE">
        <w:rPr>
          <w:rFonts w:ascii="Garamond" w:hAnsi="Garamond"/>
        </w:rPr>
        <w:t xml:space="preserve">Des cartons de tapisseries d’Émile Gaudissard pour l’Hôtel de Ville de Paris (1941-1945) », au colloque </w:t>
      </w:r>
      <w:r w:rsidRPr="00981BEE">
        <w:rPr>
          <w:rFonts w:ascii="Garamond" w:hAnsi="Garamond"/>
          <w:i/>
          <w:iCs/>
        </w:rPr>
        <w:t>La tapisserie en France</w:t>
      </w:r>
      <w:r w:rsidRPr="00981BEE">
        <w:rPr>
          <w:rFonts w:ascii="Garamond" w:hAnsi="Garamond"/>
        </w:rPr>
        <w:t xml:space="preserve">, organisé dans le cadre du programme ANR </w:t>
      </w:r>
      <w:r w:rsidRPr="00981BEE">
        <w:rPr>
          <w:rFonts w:ascii="Garamond" w:hAnsi="Garamond"/>
          <w:i/>
          <w:iCs/>
        </w:rPr>
        <w:t>ARACHNÉ. Méthode critique de l’histoire de la tapisserie</w:t>
      </w:r>
      <w:r w:rsidRPr="00981BEE">
        <w:rPr>
          <w:rFonts w:ascii="Garamond" w:hAnsi="Garamond"/>
        </w:rPr>
        <w:t>, Paris, INHA, 12-13 décembre 2014.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Les caves dans les archives de la Commission du Vieux Paris », à la journée d’étude </w:t>
      </w:r>
      <w:r w:rsidRPr="00981BEE">
        <w:rPr>
          <w:rFonts w:ascii="Garamond" w:hAnsi="Garamond"/>
          <w:i/>
          <w:iCs/>
        </w:rPr>
        <w:t>Sous les pavés, les caves ! État des recherches sur les caves anciennes d’Île-de-France et alentours</w:t>
      </w:r>
      <w:r w:rsidRPr="00981BEE">
        <w:rPr>
          <w:rFonts w:ascii="Garamond" w:hAnsi="Garamond"/>
        </w:rPr>
        <w:t xml:space="preserve">, organisée par le Centre André Chastel dans le cadre du programme de recherche </w:t>
      </w:r>
      <w:r w:rsidRPr="00981BEE">
        <w:rPr>
          <w:rFonts w:ascii="Garamond" w:hAnsi="Garamond"/>
          <w:i/>
          <w:iCs/>
        </w:rPr>
        <w:t xml:space="preserve">Les Caves de Paris </w:t>
      </w:r>
      <w:r w:rsidRPr="00981BEE">
        <w:rPr>
          <w:rFonts w:ascii="Garamond" w:hAnsi="Garamond"/>
        </w:rPr>
        <w:t>(lauréat Paris 2030), 23 novembre 2013.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La renaissance du vitrail au XIX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 siècle », au colloque </w:t>
      </w:r>
      <w:r w:rsidRPr="00981BEE">
        <w:rPr>
          <w:rFonts w:ascii="Garamond" w:hAnsi="Garamond"/>
          <w:i/>
          <w:iCs/>
        </w:rPr>
        <w:t>Le vitrail au XIX</w:t>
      </w:r>
      <w:r w:rsidRPr="00981BEE">
        <w:rPr>
          <w:rFonts w:ascii="Garamond" w:hAnsi="Garamond"/>
          <w:i/>
          <w:iCs/>
          <w:vertAlign w:val="superscript"/>
        </w:rPr>
        <w:t>e</w:t>
      </w:r>
      <w:r w:rsidRPr="00981BEE">
        <w:rPr>
          <w:rFonts w:ascii="Garamond" w:hAnsi="Garamond"/>
          <w:i/>
          <w:iCs/>
        </w:rPr>
        <w:t xml:space="preserve"> siècle</w:t>
      </w:r>
      <w:r w:rsidRPr="00981BEE">
        <w:rPr>
          <w:rFonts w:ascii="Garamond" w:hAnsi="Garamond"/>
        </w:rPr>
        <w:t>, organisé par le Groupe d'étude des monuments et œuvres d'art de l'Oise et du Beauvaisis (G.E.M.O.B.), Beauvais, 28-29 novembre 2014.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lastRenderedPageBreak/>
        <w:t xml:space="preserve">- « La préparation de l’opération archéologique par l’exploitation des sources archivistiques », conférence donnée dans le cadre de l’exposition </w:t>
      </w:r>
      <w:r w:rsidRPr="00981BEE">
        <w:rPr>
          <w:rFonts w:ascii="Garamond" w:hAnsi="Garamond"/>
          <w:i/>
          <w:iCs/>
        </w:rPr>
        <w:t>Fouilles archéologiques à l’église Saint-Germain de Charonne. À la recherche du village médiéval</w:t>
      </w:r>
      <w:r w:rsidRPr="00981BEE">
        <w:rPr>
          <w:rFonts w:ascii="Garamond" w:hAnsi="Garamond"/>
        </w:rPr>
        <w:t>, Paris, Médiathèque Marguerite Yourcenar (20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 arr.), 22 septembre 2012.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Jean Nicolas Gardeur et la sculpture en carton au XVIII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 siècle », aux journées d’études sur </w:t>
      </w:r>
      <w:r w:rsidRPr="00981BEE">
        <w:rPr>
          <w:rFonts w:ascii="Garamond" w:hAnsi="Garamond"/>
          <w:i/>
          <w:iCs/>
        </w:rPr>
        <w:t>Les décors sculptés dans les demeures privées en France (1600-1900)</w:t>
      </w:r>
      <w:r w:rsidRPr="00981BEE">
        <w:rPr>
          <w:rFonts w:ascii="Garamond" w:hAnsi="Garamond"/>
        </w:rPr>
        <w:t>, Paris, INHA, 20-21 octobre 2011.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Les collections des peintres verriers parisiens », au 25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 colloque international du </w:t>
      </w:r>
      <w:r w:rsidRPr="00981BEE">
        <w:rPr>
          <w:rFonts w:ascii="Garamond" w:hAnsi="Garamond"/>
          <w:i/>
        </w:rPr>
        <w:t>Corpus Vitrearum</w:t>
      </w:r>
      <w:r w:rsidRPr="00981BEE">
        <w:rPr>
          <w:rFonts w:ascii="Garamond" w:hAnsi="Garamond"/>
        </w:rPr>
        <w:t xml:space="preserve"> à Saint-Pétersbourg, juillet 2010.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La préparation d’un chantier de fouilles et les recherches préalables en archives. Quelques exemples parisiens, dont les fouilles de l’orangerie des Tuileries », Paris, Hôtel de Ville, 12 juin 2006.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 « Les vitraux de l’église Saint-Eugène-Sainte-Cécile (Paris-9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 xml:space="preserve"> arr.) », </w:t>
      </w:r>
      <w:r>
        <w:rPr>
          <w:rFonts w:ascii="Garamond" w:hAnsi="Garamond"/>
        </w:rPr>
        <w:t xml:space="preserve">au </w:t>
      </w:r>
      <w:r w:rsidRPr="00981BEE">
        <w:rPr>
          <w:rFonts w:ascii="Garamond" w:hAnsi="Garamond"/>
        </w:rPr>
        <w:t>colloque organisé pour le 150</w:t>
      </w:r>
      <w:r w:rsidRPr="00981BEE">
        <w:rPr>
          <w:rFonts w:ascii="Garamond" w:hAnsi="Garamond"/>
          <w:vertAlign w:val="superscript"/>
        </w:rPr>
        <w:t>e</w:t>
      </w:r>
      <w:r w:rsidRPr="00981BEE">
        <w:rPr>
          <w:rFonts w:ascii="Garamond" w:hAnsi="Garamond"/>
        </w:rPr>
        <w:t> anniversaire de la création de la paroisse, octobre 2005.</w:t>
      </w:r>
    </w:p>
    <w:p w:rsidR="006D7311" w:rsidRPr="008324C0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 « Les vitraux de la chapelle du collège de Dormans-Beauvais », au colloque </w:t>
      </w:r>
      <w:r w:rsidRPr="008324C0">
        <w:rPr>
          <w:rFonts w:ascii="Garamond" w:hAnsi="Garamond"/>
        </w:rPr>
        <w:t>La création artistique en France autour de 1400</w:t>
      </w:r>
      <w:r w:rsidRPr="00981BEE">
        <w:rPr>
          <w:rFonts w:ascii="Garamond" w:hAnsi="Garamond"/>
        </w:rPr>
        <w:t>, XIX</w:t>
      </w:r>
      <w:r w:rsidRPr="008324C0">
        <w:rPr>
          <w:rFonts w:ascii="Garamond" w:hAnsi="Garamond"/>
          <w:vertAlign w:val="superscript"/>
        </w:rPr>
        <w:t>es</w:t>
      </w:r>
      <w:r w:rsidRPr="00981BEE">
        <w:rPr>
          <w:rFonts w:ascii="Garamond" w:hAnsi="Garamond"/>
        </w:rPr>
        <w:t xml:space="preserve"> rencontres de l’École du Louvre, juillet 2004.</w:t>
      </w:r>
    </w:p>
    <w:p w:rsidR="006D7311" w:rsidRPr="00981BEE" w:rsidRDefault="006D7311" w:rsidP="006D7311">
      <w:pPr>
        <w:spacing w:after="120"/>
        <w:rPr>
          <w:rFonts w:ascii="Garamond" w:hAnsi="Garamond"/>
        </w:rPr>
      </w:pPr>
    </w:p>
    <w:p w:rsidR="006D7311" w:rsidRPr="00981BEE" w:rsidRDefault="006D7311" w:rsidP="006D7311">
      <w:pPr>
        <w:pStyle w:val="Titre1"/>
        <w:spacing w:after="120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Rapports sur d</w:t>
      </w:r>
      <w:r w:rsidRPr="00981BEE">
        <w:rPr>
          <w:rFonts w:ascii="Garamond" w:hAnsi="Garamond"/>
          <w:smallCaps/>
        </w:rPr>
        <w:t xml:space="preserve">es interventions archéologiques </w:t>
      </w:r>
    </w:p>
    <w:p w:rsidR="006D7311" w:rsidRDefault="006D7311" w:rsidP="006D7311">
      <w:pPr>
        <w:spacing w:after="120"/>
        <w:ind w:left="284" w:hanging="284"/>
        <w:jc w:val="both"/>
        <w:rPr>
          <w:rFonts w:ascii="Garamond" w:hAnsi="Garamond"/>
          <w:iCs/>
        </w:rPr>
      </w:pP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  <w:iCs/>
        </w:rPr>
      </w:pPr>
      <w:r w:rsidRPr="00981BEE">
        <w:rPr>
          <w:rFonts w:ascii="Garamond" w:hAnsi="Garamond"/>
          <w:iCs/>
        </w:rPr>
        <w:t xml:space="preserve">- « Étude de la parcelle », dans Catherine Brut, </w:t>
      </w:r>
      <w:r w:rsidRPr="00981BEE">
        <w:rPr>
          <w:rFonts w:ascii="Garamond" w:hAnsi="Garamond"/>
          <w:i/>
        </w:rPr>
        <w:t xml:space="preserve">34, rue Greneta. Évaluation archéologique, </w:t>
      </w:r>
      <w:r w:rsidRPr="00981BEE">
        <w:rPr>
          <w:rFonts w:ascii="Garamond" w:hAnsi="Garamond"/>
          <w:iCs/>
        </w:rPr>
        <w:t>2013, 120 p., p. 17-20.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  <w:i/>
        </w:rPr>
        <w:t xml:space="preserve">- Le collège Sainte-Barbe. 4 rue Valette – 75005 Paris. </w:t>
      </w:r>
      <w:r w:rsidRPr="00981BEE">
        <w:rPr>
          <w:rFonts w:ascii="Garamond" w:hAnsi="Garamond"/>
          <w:i/>
          <w:iCs/>
        </w:rPr>
        <w:t>Étude historique</w:t>
      </w:r>
      <w:r w:rsidRPr="00981BEE">
        <w:rPr>
          <w:rFonts w:ascii="Garamond" w:hAnsi="Garamond"/>
          <w:iCs/>
        </w:rPr>
        <w:t>, Paris, DHAAP, 2012, 52 p.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  <w:i/>
        </w:rPr>
      </w:pPr>
      <w:r w:rsidRPr="00981BEE">
        <w:rPr>
          <w:rFonts w:ascii="Garamond" w:hAnsi="Garamond"/>
        </w:rPr>
        <w:t xml:space="preserve">- Collaboration au rapport de Violaine Bresson, </w:t>
      </w:r>
      <w:r w:rsidRPr="00981BEE">
        <w:rPr>
          <w:rFonts w:ascii="Garamond" w:hAnsi="Garamond"/>
          <w:i/>
        </w:rPr>
        <w:t>Église Saint-Médard, 141 rue Mouffetard, Paris 5</w:t>
      </w:r>
      <w:r w:rsidRPr="00981BEE">
        <w:rPr>
          <w:rFonts w:ascii="Garamond" w:hAnsi="Garamond"/>
          <w:i/>
          <w:vertAlign w:val="superscript"/>
        </w:rPr>
        <w:t>e</w:t>
      </w:r>
      <w:r w:rsidRPr="00981BEE">
        <w:rPr>
          <w:rFonts w:ascii="Garamond" w:hAnsi="Garamond"/>
          <w:i/>
        </w:rPr>
        <w:t xml:space="preserve"> arr</w:t>
      </w:r>
      <w:r w:rsidRPr="00981BEE">
        <w:rPr>
          <w:rFonts w:ascii="Garamond" w:hAnsi="Garamond"/>
        </w:rPr>
        <w:t xml:space="preserve">., </w:t>
      </w:r>
      <w:r w:rsidRPr="00981BEE">
        <w:rPr>
          <w:rFonts w:ascii="Garamond" w:hAnsi="Garamond"/>
          <w:i/>
        </w:rPr>
        <w:t>rapport de surveillance archéologique</w:t>
      </w:r>
      <w:r w:rsidRPr="00981BEE">
        <w:rPr>
          <w:rFonts w:ascii="Garamond" w:hAnsi="Garamond"/>
        </w:rPr>
        <w:t>, septembre 2011, 22 p.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Collaboration au rapport de Violaine Bresson, </w:t>
      </w:r>
      <w:r w:rsidRPr="00981BEE">
        <w:rPr>
          <w:rFonts w:ascii="Garamond" w:hAnsi="Garamond"/>
          <w:i/>
        </w:rPr>
        <w:t>Ancienne chapelle de l’hôpital Beaujon, 204-210 rue du faubourg Saint-Honoré, Paris 8</w:t>
      </w:r>
      <w:r w:rsidRPr="00981BEE">
        <w:rPr>
          <w:rFonts w:ascii="Garamond" w:hAnsi="Garamond"/>
          <w:i/>
          <w:vertAlign w:val="superscript"/>
        </w:rPr>
        <w:t>e</w:t>
      </w:r>
      <w:r w:rsidRPr="00981BEE">
        <w:rPr>
          <w:rFonts w:ascii="Garamond" w:hAnsi="Garamond"/>
          <w:i/>
        </w:rPr>
        <w:t xml:space="preserve"> arr., rapport de surveillance archéologique</w:t>
      </w:r>
      <w:r w:rsidRPr="00981BEE">
        <w:rPr>
          <w:rFonts w:ascii="Garamond" w:hAnsi="Garamond"/>
        </w:rPr>
        <w:t>, juillet 2011.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« Données archivistiques », dans Violaine Bresson, </w:t>
      </w:r>
      <w:r w:rsidRPr="00981BEE">
        <w:rPr>
          <w:rFonts w:ascii="Garamond" w:hAnsi="Garamond"/>
          <w:i/>
          <w:iCs/>
        </w:rPr>
        <w:t>Grange de La Chapelle</w:t>
      </w:r>
      <w:r w:rsidRPr="00981BEE">
        <w:rPr>
          <w:rFonts w:ascii="Garamond" w:hAnsi="Garamond"/>
        </w:rPr>
        <w:t xml:space="preserve">, </w:t>
      </w:r>
      <w:r w:rsidRPr="00981BEE">
        <w:rPr>
          <w:rFonts w:ascii="Garamond" w:hAnsi="Garamond"/>
          <w:i/>
          <w:iCs/>
        </w:rPr>
        <w:t>38, rue de la Chapelle, Paris, 18</w:t>
      </w:r>
      <w:r w:rsidRPr="00981BEE">
        <w:rPr>
          <w:rFonts w:ascii="Garamond" w:hAnsi="Garamond"/>
          <w:i/>
          <w:iCs/>
          <w:vertAlign w:val="superscript"/>
        </w:rPr>
        <w:t>e</w:t>
      </w:r>
      <w:r w:rsidRPr="00981BEE">
        <w:rPr>
          <w:rFonts w:ascii="Garamond" w:hAnsi="Garamond"/>
          <w:i/>
          <w:iCs/>
        </w:rPr>
        <w:t> arr</w:t>
      </w:r>
      <w:r w:rsidRPr="00981BEE">
        <w:rPr>
          <w:rFonts w:ascii="Garamond" w:hAnsi="Garamond"/>
        </w:rPr>
        <w:t xml:space="preserve">., </w:t>
      </w:r>
      <w:r w:rsidRPr="00981BEE">
        <w:rPr>
          <w:rFonts w:ascii="Garamond" w:hAnsi="Garamond"/>
          <w:i/>
        </w:rPr>
        <w:t>rapport de sondages archéologiques</w:t>
      </w:r>
      <w:r w:rsidRPr="00981BEE">
        <w:rPr>
          <w:rFonts w:ascii="Garamond" w:hAnsi="Garamond"/>
        </w:rPr>
        <w:t>, janvier 2011, 240 p., p. 26-34.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 xml:space="preserve">- Collaboration au rapport final d’opération de Françoise Lagarde, </w:t>
      </w:r>
      <w:r w:rsidRPr="00981BEE">
        <w:rPr>
          <w:rFonts w:ascii="Garamond" w:hAnsi="Garamond"/>
          <w:i/>
        </w:rPr>
        <w:t>Cimetière de l’église Sainte-Marguerite, 40, rue Saint-Bernard, Paris XI</w:t>
      </w:r>
      <w:r w:rsidRPr="00981BEE">
        <w:rPr>
          <w:rFonts w:ascii="Garamond" w:hAnsi="Garamond"/>
          <w:i/>
          <w:vertAlign w:val="superscript"/>
        </w:rPr>
        <w:t>e</w:t>
      </w:r>
      <w:r w:rsidRPr="00981BEE">
        <w:rPr>
          <w:rFonts w:ascii="Garamond" w:hAnsi="Garamond"/>
          <w:i/>
        </w:rPr>
        <w:t xml:space="preserve"> arr., </w:t>
      </w:r>
      <w:r w:rsidRPr="00981BEE">
        <w:rPr>
          <w:rFonts w:ascii="Garamond" w:hAnsi="Garamond"/>
        </w:rPr>
        <w:t>DHAAP-SRA, 2009, 95 p.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</w:rPr>
        <w:t>- « Étude historique de l’enceinte des Fossés jaunes » (en collab</w:t>
      </w:r>
      <w:r>
        <w:rPr>
          <w:rFonts w:ascii="Garamond" w:hAnsi="Garamond"/>
        </w:rPr>
        <w:t>.</w:t>
      </w:r>
      <w:r w:rsidRPr="00981BEE">
        <w:rPr>
          <w:rFonts w:ascii="Garamond" w:hAnsi="Garamond"/>
        </w:rPr>
        <w:t xml:space="preserve"> avec Paul Celly) dans Paul Celly, </w:t>
      </w:r>
      <w:r w:rsidRPr="00981BEE">
        <w:rPr>
          <w:rFonts w:ascii="Garamond" w:hAnsi="Garamond"/>
          <w:i/>
        </w:rPr>
        <w:t>Musée de l’Orangerie, Paris, 1</w:t>
      </w:r>
      <w:r w:rsidRPr="00981BEE">
        <w:rPr>
          <w:rFonts w:ascii="Garamond" w:hAnsi="Garamond"/>
          <w:i/>
          <w:vertAlign w:val="superscript"/>
        </w:rPr>
        <w:t>er</w:t>
      </w:r>
      <w:r w:rsidRPr="00981BEE">
        <w:rPr>
          <w:rFonts w:ascii="Garamond" w:hAnsi="Garamond"/>
          <w:i/>
        </w:rPr>
        <w:t xml:space="preserve"> arr. Le premier bastion de l’enceinte de Charles IX dite « des Fossés jaunes », rapport de fouille préventive</w:t>
      </w:r>
      <w:r w:rsidRPr="00981BEE">
        <w:rPr>
          <w:rFonts w:ascii="Garamond" w:hAnsi="Garamond"/>
        </w:rPr>
        <w:t>, SRA-INRAP, 2005, p. 25-62.</w:t>
      </w:r>
    </w:p>
    <w:p w:rsidR="006D7311" w:rsidRPr="00981BEE" w:rsidRDefault="006D7311" w:rsidP="006D7311">
      <w:pPr>
        <w:spacing w:after="120"/>
        <w:ind w:left="284" w:hanging="284"/>
        <w:jc w:val="both"/>
        <w:rPr>
          <w:rFonts w:ascii="Garamond" w:hAnsi="Garamond"/>
        </w:rPr>
      </w:pPr>
      <w:r w:rsidRPr="00981BEE">
        <w:rPr>
          <w:rFonts w:ascii="Garamond" w:hAnsi="Garamond"/>
          <w:i/>
          <w:iCs/>
        </w:rPr>
        <w:t>- Bastion des Tuileries faisant partie de l’enceinte de Charles IX, découvert sous le musée de l’Orangerie</w:t>
      </w:r>
      <w:r w:rsidRPr="00981BEE">
        <w:rPr>
          <w:rFonts w:ascii="Garamond" w:hAnsi="Garamond"/>
        </w:rPr>
        <w:t>, Paris, Ville de Paris, 2004, 22 p.</w:t>
      </w:r>
    </w:p>
    <w:p w:rsidR="006D7311" w:rsidRPr="00981BEE" w:rsidRDefault="006D7311" w:rsidP="006D7311">
      <w:pPr>
        <w:spacing w:afterLines="40" w:after="96"/>
        <w:ind w:left="284" w:hanging="284"/>
        <w:jc w:val="both"/>
        <w:rPr>
          <w:rFonts w:ascii="Garamond" w:hAnsi="Garamond"/>
        </w:rPr>
      </w:pPr>
    </w:p>
    <w:p w:rsidR="00A138A5" w:rsidRDefault="00A138A5">
      <w:bookmarkStart w:id="0" w:name="_GoBack"/>
      <w:bookmarkEnd w:id="0"/>
    </w:p>
    <w:sectPr w:rsidR="00A138A5" w:rsidSect="00BA503E">
      <w:footerReference w:type="default" r:id="rId7"/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52F" w:rsidRDefault="006D7311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C752F" w:rsidRDefault="006D7311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11"/>
    <w:rsid w:val="000708C3"/>
    <w:rsid w:val="0016713C"/>
    <w:rsid w:val="002E510C"/>
    <w:rsid w:val="006104C1"/>
    <w:rsid w:val="00672DAA"/>
    <w:rsid w:val="006D7311"/>
    <w:rsid w:val="00A138A5"/>
    <w:rsid w:val="00C0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66C86-DA1C-424A-85ED-DDC42F5C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7311"/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D7311"/>
    <w:pPr>
      <w:keepNext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6713C"/>
    <w:pPr>
      <w:jc w:val="both"/>
    </w:pPr>
    <w:rPr>
      <w:rFonts w:ascii="Garamond" w:eastAsiaTheme="minorHAnsi" w:hAnsi="Garamond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6713C"/>
    <w:rPr>
      <w:rFonts w:ascii="Garamond" w:hAnsi="Garamond"/>
      <w:sz w:val="20"/>
      <w:szCs w:val="20"/>
    </w:rPr>
  </w:style>
  <w:style w:type="character" w:customStyle="1" w:styleId="Titre1Car">
    <w:name w:val="Titre 1 Car"/>
    <w:basedOn w:val="Policepardfaut"/>
    <w:link w:val="Titre1"/>
    <w:rsid w:val="006D7311"/>
    <w:rPr>
      <w:rFonts w:ascii="Times New Roman" w:eastAsia="Times New Roman" w:hAnsi="Times New Roman"/>
      <w:b/>
      <w:bCs/>
      <w:sz w:val="24"/>
      <w:szCs w:val="24"/>
      <w:lang w:eastAsia="fr-FR"/>
    </w:rPr>
  </w:style>
  <w:style w:type="character" w:styleId="Lienhypertexte">
    <w:name w:val="Hyperlink"/>
    <w:rsid w:val="006D7311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6D73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7311"/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samisdesaintaugustin.fr/wp-content/uploads/2016/04/prez-Vitraux-de-Saint-Aug-EP.pdf" TargetMode="External"/><Relationship Id="rId5" Type="http://schemas.openxmlformats.org/officeDocument/2006/relationships/hyperlink" Target="http://ashp.revues.org/1511" TargetMode="External"/><Relationship Id="rId4" Type="http://schemas.openxmlformats.org/officeDocument/2006/relationships/hyperlink" Target="http://histoire19.hypotheses.org/148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1482</Words>
  <Characters>8153</Characters>
  <Application>Microsoft Office Word</Application>
  <DocSecurity>0</DocSecurity>
  <Lines>67</Lines>
  <Paragraphs>19</Paragraphs>
  <ScaleCrop>false</ScaleCrop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</dc:creator>
  <cp:keywords/>
  <dc:description/>
  <cp:lastModifiedBy>Elis</cp:lastModifiedBy>
  <cp:revision>1</cp:revision>
  <dcterms:created xsi:type="dcterms:W3CDTF">2017-08-09T09:18:00Z</dcterms:created>
  <dcterms:modified xsi:type="dcterms:W3CDTF">2017-08-09T09:19:00Z</dcterms:modified>
</cp:coreProperties>
</file>